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46"/>
        <w:gridCol w:w="730"/>
        <w:gridCol w:w="1417"/>
        <w:gridCol w:w="1327"/>
        <w:gridCol w:w="637"/>
        <w:gridCol w:w="1652"/>
        <w:gridCol w:w="1646"/>
        <w:gridCol w:w="4378"/>
        <w:gridCol w:w="2977"/>
        <w:gridCol w:w="142"/>
        <w:gridCol w:w="708"/>
      </w:tblGrid>
      <w:tr w:rsidR="000176D6" w:rsidRPr="00BE76C6" w:rsidTr="00977A23">
        <w:trPr>
          <w:trHeight w:val="405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76D6" w:rsidRPr="002E30D7" w:rsidRDefault="000176D6" w:rsidP="00977A23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bookmarkStart w:id="0" w:name="RANGE!A1:J63"/>
            <w:r w:rsidRPr="002E30D7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附件1</w:t>
            </w:r>
          </w:p>
          <w:p w:rsidR="000176D6" w:rsidRPr="00BB03B2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 w:rsidRPr="00BB03B2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福建省残疾人基本型辅助器具补贴（指导）目录</w:t>
            </w:r>
            <w:bookmarkEnd w:id="0"/>
          </w:p>
        </w:tc>
      </w:tr>
      <w:tr w:rsidR="000176D6" w:rsidRPr="00BE76C6" w:rsidTr="00977A23">
        <w:trPr>
          <w:trHeight w:val="720"/>
        </w:trPr>
        <w:tc>
          <w:tcPr>
            <w:tcW w:w="16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A 通用目录（适用于所有年龄段残疾人）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残疾类别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辅具类别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使用年限（年）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最高补贴金额（元）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产品功能及说明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适用对象及用途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是否须经评估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肢体残疾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个人移动辅助器具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普通轮椅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4（15岁以上）/2(0-14岁)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手动四轮轮椅，包括助推轮椅、手动轮椅、带座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便功能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的轮椅等（任选其一），为固定扶手，固定式脚踏板。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下肢残疾,需借助轮椅移动的残疾人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活扶手轮椅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4（15岁以上）/2(0-14岁)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扶手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可掀或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可拆卸，踏板可翻、高度可调，踏板支架可外旋的手动轮椅。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长时间乘坐轮椅，且需在轮椅上进行位置转移的截瘫、偏瘫等残疾人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A3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高靠背轮椅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4（15岁以上）/2(0-14岁)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配有头枕、身体固定带、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腿托等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配件，靠背可调为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全躺位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或半躺位的手动轮椅。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难以在轮椅上保持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坐姿但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需较长时间依赖轮椅移动的重度肢体残疾人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助行器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3（15岁以上）/2(0-14岁)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包括四脚框架式助行架、两轮或四轮助行架、平台式助行器，高度可调。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平衡能力和下肢肌力稍差，上肢功能尚可，需借助助行器具站立和行走的残疾人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A5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手摇三轮车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1200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手动三轮轮椅车，有倒档和驻车装置，座位有扶手。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下肢残疾，但身体功能较好，具备操控能力、需较长距离户外移动的残疾人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10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A6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移乘板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用于放置在轮椅和床、轮椅和坐厕之间辅助使用者完成转移的装置，需表面光滑，摩擦力小、抗折和方便取放携带。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长期乘坐轮椅并有自主移位需求的残疾人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10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lastRenderedPageBreak/>
              <w:t>A7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腋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拐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副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腋下部位有一个支撑托的助行器具，钢质或铝合金材质，高度可调，能帮助行走困难的残疾人实现部分行走功能。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单腿或双脚支撑能力较差，上肢功能健全的残疾人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A8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肘拐</w:t>
            </w:r>
            <w:proofErr w:type="gramEnd"/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副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有前臂支撑架或环带，钢质或铝合金材质，高度可调，能帮助行走困难的残疾人实现部分行走功能。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单腿或双脚支撑能力较差，上肢功能健全的残疾人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6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A9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多脚手杖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4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非由前臂或腋下支撑的单臂操作助行器具，钢质或铝合金材质，高度可调，能帮助行走困难的残疾人实现部分行走功能。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下肢肌力弱、平衡能力差，但上肢功能健全的残疾人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68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A10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单脚手杖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4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A2111A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6D6" w:rsidRPr="00BE76C6" w:rsidTr="00977A23">
        <w:trPr>
          <w:trHeight w:val="71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A11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手杖凳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支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4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A2111A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A12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家庭和其他场所的家具和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适配件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多功能护理床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钢制框架、带护栏、床边桌，可手动或电动调节的护理床。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长期卧床无法自行起身的重度残疾人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6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A13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个人医疗辅助器具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防压疮床垫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具有分散局部压力功能的床垫，包括交替充气型和记忆海绵垫等。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长时间卧床、无法自行翻身的重度残疾人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A14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防压疮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座垫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具有分散局部压力功能的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座垫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，包括气道、记忆海绵垫等材质。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需长时间乘坐轮椅的残疾人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4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A15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个人生活自理和防护辅助器具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座便椅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带便桶，有靠背，可折叠的框架式椅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因肢体功能障碍导致如厕困难的残疾人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A16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洗浴椅/凳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防水，高度可调节的洗浴用椅/凳，座板和支脚具有防滑性能。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年老体弱或肢体功能障碍难以站立洗浴者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A17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生活自助具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帮助残疾人自主饮食的进食类辅具（专用刀、叉、勺、筷、杯盘、防滑垫等）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因肢体功能障碍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导致导致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日常生活（主要指进食）能力下降的残疾人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lastRenderedPageBreak/>
              <w:t>A18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下肢假肢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足部假肢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/1(0-14岁)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代偿足部缺失部分的结构和功能。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部分足截肢，经评估适合装配的残疾人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A19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赛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姆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代偿踝部截肢者部分结构和功能得到改善。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踝部截肢、赛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姆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截肢或小腿残肢过长，经评估适合装配的残疾人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A20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小腿假肢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代偿小腿缺失部分的结构和功能。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小腿截肢，经评估适合装配的残疾人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A21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膝部假肢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4000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代偿膝部截肢者缺失部分的结构和功能。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膝关节离断、小腿极短残肢、大腿残肢过长，经评估适合装配的残疾人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A22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大腿假肢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5000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代偿大腿截肢者缺失部分的结构和功能。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大腿截肢者，经评估适合装配的残疾人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A23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髋部假肢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10000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代偿髋部截肢者缺失部分的结构和功能。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髋关节离断或大腿残肢过短，经评估适合装配的残疾人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A24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上肢假肢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手部假肢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2（15岁以上）/1(0-14岁)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弥补外观缺损或代偿功能。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单个手指或多个手指缺损者，掌骨截肢者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A25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腕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离断假肢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4000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弥补外观缺损或代偿功能。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腕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离断或前臂长残肢的截肢者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A26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前臂假肢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4000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弥补外观缺损或代偿功能。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前臂截肢者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A27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肘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离断假肢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7000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弥补外观缺损或代偿功能。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肘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离断或上臂残肢过长、前臂极短残肢的截肢者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A28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上臂假肢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8000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弥补外观缺损或代偿功能。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上臂截肢者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8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A29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肩部假肢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3（15岁以上）/1(0-14岁)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8000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弥补外观缺损或代偿功能。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肩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离断或上臂残肢过短的截肢者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8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lastRenderedPageBreak/>
              <w:t>A30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矫形器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足矫形器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2（15岁以上）/1(7-14岁)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/0.5(0-6岁)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取型定制，用皮革、塑料及金属材料制作，用于改善足部功能。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扁平足、高弓足、内外翻足、糖尿病足、足弓部扭伤受压迫，胫骨后肌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腱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疼痛及前脚底疼痛等，经评估适合装配的足部功能障碍的残疾人。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0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A31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矫形鞋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2（15岁以上）/1(7-14岁)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/0.5(0-6岁)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通过专业评估测量，专业设备取型定制，根据足部功能需要选择鞋型尺码和材料，用于足部畸形改善足部功能。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经评估适合装配的足部功能障碍的残疾人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15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A32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腕手矫形器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2（15岁以上）/1(7-14岁)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/0.5(0-6岁)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取型定制，用皮革、塑料及金属材料制作，用于改善腕部功能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手部畸形、掌指关节不能主动伸展、垂腕等残疾人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14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A33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脊柱矫形器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2（15岁以上）/1(7-14岁)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/0.5(0-6岁)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起到控制或矫正脊柱侧弯，起支撑、固定、减荷、保护、矫正作用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脊柱损伤或变形的残疾人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2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A34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踝足矫形器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2（15岁以上）/1(7-14岁)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/0.5(0-6岁)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取型定制，固定或限制踝关节活动，起到稳定和保护踝关节作用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伤病导致的足下垂、内外翻足、踝关节无法控制等残疾人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4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A35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膝踝足矫形器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2（15岁以上）/1(7-14岁)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/0.5(0-6岁)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1800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取型定制，起到固定或限制膝关节、踝关节活动，腿部支撑、矫正畸形等功能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膝内翻、膝外翻、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膝过伸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、屈膝肌无力、膝韧带损伤、膝关节骨性关节炎等疾病引起的功能障碍，经过评估需要装配的残疾人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0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lastRenderedPageBreak/>
              <w:t>A36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膝部矫形器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只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2（15岁以上）/1(7-14岁)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br/>
              <w:t>/0.5(0-6岁)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1000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固定膝部关节和辅助支撑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膝内翻、膝外翻、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膝过伸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、屈膝肌无力、膝韧带损伤、膝关节骨性关节炎等疾病引起的功能障碍，经过评估需要装配的残疾人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A37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视力残疾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个人移动辅助器具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盲杖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支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帮助视力残疾人感知周围环境，</w:t>
            </w:r>
            <w:r w:rsidRPr="00BE76C6">
              <w:rPr>
                <w:rFonts w:ascii="宋体" w:hAnsi="宋体" w:cs="宋体" w:hint="eastAsia"/>
                <w:kern w:val="0"/>
                <w:szCs w:val="21"/>
              </w:rPr>
              <w:t>折叠式或可伸缩，</w:t>
            </w:r>
            <w:r w:rsidRPr="00BE76C6">
              <w:rPr>
                <w:rFonts w:ascii="宋体" w:hAnsi="宋体" w:cs="宋体" w:hint="eastAsia"/>
                <w:kern w:val="0"/>
                <w:sz w:val="22"/>
              </w:rPr>
              <w:t>帮助视力残疾人安全出行。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适用于盲及低视力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者出行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A38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沟通和信息辅助器具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盲文写字板和笔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4行×28方，盲人书写工具。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适用于盲人书写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A39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电脑读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屏软件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76C6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具有电脑读屏语音播报功能，运用声音将电脑屏幕上的文字信息传送给用户，或者使用盲文将文字传输显示设备中。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76C6">
              <w:rPr>
                <w:rFonts w:ascii="宋体" w:hAnsi="宋体" w:cs="宋体" w:hint="eastAsia"/>
                <w:kern w:val="0"/>
                <w:szCs w:val="21"/>
              </w:rPr>
              <w:t>适用于使用电脑的视力残疾人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76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A40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76C6">
              <w:rPr>
                <w:rFonts w:ascii="宋体" w:hAnsi="宋体" w:cs="宋体" w:hint="eastAsia"/>
                <w:color w:val="000000"/>
                <w:kern w:val="0"/>
                <w:szCs w:val="21"/>
              </w:rPr>
              <w:t>盲用智能阅读器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76C6"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通过扫描，可以对书籍、杂志、药品说明书、包装盒等纸质材料进行语音播报。不具有通话功能，非手机产品。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76C6">
              <w:rPr>
                <w:rFonts w:ascii="宋体" w:hAnsi="宋体" w:cs="宋体" w:hint="eastAsia"/>
                <w:kern w:val="0"/>
                <w:szCs w:val="21"/>
              </w:rPr>
              <w:t>适用于有阅读需求的视力残疾人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6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A41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智能网络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听书机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800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具备互联网网站无障碍访问功能，支持多种格式数字资源播放；支持DAISY国际标准，具备章节直选和记录读书笔记等功能；</w:t>
            </w: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用于盲及低视力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残疾人者听读互联网信息内容及数字无障碍教学。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适用于盲及低视力</w:t>
            </w:r>
            <w:proofErr w:type="gramEnd"/>
            <w:r w:rsidRPr="00BE76C6">
              <w:rPr>
                <w:rFonts w:ascii="宋体" w:hAnsi="宋体" w:cs="宋体" w:hint="eastAsia"/>
                <w:kern w:val="0"/>
                <w:sz w:val="22"/>
              </w:rPr>
              <w:t>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A42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手持式电子助视器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便携式电子放大设备，放大倍数可调,可提供多种显示模式。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适用于视力残疾人近用（如阅读）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3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A43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台式电子助视器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带台式电子显示屏的助视器，放大倍数可调可分为近用台式电子助视器，近远两用台式电子助视器及便携式近远两用电子助视器（配置显示器）等（任选其一）。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适用于就学及特殊环境就业的低视力人群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99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lastRenderedPageBreak/>
              <w:t>A44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中远距离眼镜式助视器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焦距独立可调，最大可放大约2倍。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适用于视力残疾中远距离视觉需求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9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A45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低视力专用滤光镜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镜片可有效过滤波长范围在400-500nm之间的光波90%以上；镜片规格可选。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适用于视力残疾人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15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A46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光学放大镜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近用光学助视器。非球面设计，含多种倍数，可配有照明光源。包括手持式、立式、镇纸式、胸挂式等（选其一），满足近距离视觉需求。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适用于低视力残疾人近用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155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A47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单筒望远镜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远用光学助视器。手持单筒式，焦距可调，放大倍率分2.5倍、4倍、6倍、8倍等（选其一）。主要用于看户外标识、公交站牌、红绿灯等看远需求。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适用于低视力残疾人远用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176D6" w:rsidRPr="00BE76C6" w:rsidTr="00977A23">
        <w:trPr>
          <w:trHeight w:val="1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A48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眼镜式助视器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付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2（15岁以上）/1(0-14岁)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300(15岁以上)/500(0-14岁)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凹凸透镜、散光镜片、棱镜、双光镜等不同镜片组合，符合低视力者学习工作生活需求，便于低视力残疾人安全舒适配戴。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适用于低视力残疾人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4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A49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听力残疾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沟通和信息辅助器具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耳背/定制式助听器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5（15岁以上）/3(0-14岁)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2000(15岁以上)/3000(0-14岁)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使用数字信号处理技术的助听装置。各通道可独立调节增益，功率涵盖中功率、大功率、特大功率耳背或定制式助听器。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适用于有残余听力的听力残疾人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0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lastRenderedPageBreak/>
              <w:t>A50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盒式助听器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又称体配式或口袋式助听器，操作方便，不易产生声反馈。使用5号、7号电池，或可充电电池。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适用于有残余听力的听力残疾人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76C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76D6" w:rsidRPr="00BE76C6" w:rsidTr="00977A23">
        <w:trPr>
          <w:trHeight w:val="109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A51</w:t>
            </w: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骨传导助听器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通过头部骨传道信号，经过数字信号处理技术的助听装置，功率涵盖中功率、大功率、特大功率助听器。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适用于有残余听力的听力残疾人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63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A52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闪光门铃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具有闪光装置的门铃，起到提示作用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适用于听力障碍的残疾人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76C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76D6" w:rsidRPr="00BE76C6" w:rsidTr="00977A23">
        <w:trPr>
          <w:trHeight w:val="212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A53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精神、智力残疾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个人生活自理和防护辅助器具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随身定位器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通过卫星定位系统，可以防走失的手环、腕表、挂件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任何阶段的精神残疾和智力残疾人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76C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76D6" w:rsidRPr="00BE76C6" w:rsidTr="00977A23">
        <w:trPr>
          <w:trHeight w:val="525"/>
        </w:trPr>
        <w:tc>
          <w:tcPr>
            <w:tcW w:w="16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76D6" w:rsidRDefault="000176D6" w:rsidP="00977A2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:rsidR="000176D6" w:rsidRDefault="000176D6" w:rsidP="00977A2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:rsidR="000176D6" w:rsidRDefault="000176D6" w:rsidP="00977A2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:rsidR="000176D6" w:rsidRDefault="000176D6" w:rsidP="00977A2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:rsidR="000176D6" w:rsidRDefault="000176D6" w:rsidP="00977A2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:rsidR="000176D6" w:rsidRDefault="000176D6" w:rsidP="00977A2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</w:p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B 0-14岁残疾儿童特殊目录（仅适用于0-14岁残疾儿童）</w:t>
            </w:r>
          </w:p>
        </w:tc>
      </w:tr>
      <w:tr w:rsidR="000176D6" w:rsidRPr="00BE76C6" w:rsidTr="00977A23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残疾类别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辅具类别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使用年限（年）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最高补贴金额（元）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产品功能及说明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适用对象及用途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是否须经评估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B1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肢体残疾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个人移动辅助器具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脑瘫儿童专用轮椅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2500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除轮椅基本配置外，还具备必要的固定装置及限位装置，能改善肢体残疾儿童的活动能力。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适用于因脑瘫等原因不能独立行走，需长时间借助轮椅进行活动的残疾儿童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8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B2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个人医疗辅助器具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儿童坐姿椅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1200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具有调整功能，有放置双手的操作平台、限位装置，能够帮助残疾儿童保持坐姿。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适用于不能自行保持坐姿的残疾儿童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0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B3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儿童站立架/床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直立式或前倾式站立架/床，桌面高度应可调整，整体可拆装折叠；带脚轮，可移动；护胸、护腹、护腿设计合理。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无法自行站立的残疾儿童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0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B4</w:t>
            </w: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76C6">
              <w:rPr>
                <w:rFonts w:ascii="宋体" w:hAnsi="宋体" w:cs="宋体" w:hint="eastAsia"/>
                <w:kern w:val="0"/>
                <w:sz w:val="24"/>
              </w:rPr>
              <w:t>矫形器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BE76C6">
              <w:rPr>
                <w:rFonts w:ascii="宋体" w:hAnsi="宋体" w:cs="宋体" w:hint="eastAsia"/>
                <w:color w:val="000000"/>
                <w:kern w:val="0"/>
                <w:sz w:val="22"/>
              </w:rPr>
              <w:t>髋</w:t>
            </w:r>
            <w:proofErr w:type="gramEnd"/>
            <w:r w:rsidRPr="00BE76C6">
              <w:rPr>
                <w:rFonts w:ascii="宋体" w:hAnsi="宋体" w:cs="宋体" w:hint="eastAsia"/>
                <w:color w:val="000000"/>
                <w:kern w:val="0"/>
                <w:sz w:val="22"/>
              </w:rPr>
              <w:t>矫形器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件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0.5（0-6岁）/1（7-14岁）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1500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起支撑、固定、减荷、保护、矫正作用,由专业机构评估定制。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color w:val="000000"/>
                <w:kern w:val="0"/>
                <w:sz w:val="22"/>
              </w:rPr>
              <w:t>适用于痉挛型脑瘫、先天性髋臼发育不良、髋关节内旋或外旋、佩</w:t>
            </w:r>
            <w:proofErr w:type="gramStart"/>
            <w:r w:rsidRPr="00BE76C6">
              <w:rPr>
                <w:rFonts w:ascii="宋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 w:rsidRPr="00BE76C6">
              <w:rPr>
                <w:rFonts w:ascii="宋体" w:hAnsi="宋体" w:cs="宋体" w:hint="eastAsia"/>
                <w:color w:val="000000"/>
                <w:kern w:val="0"/>
                <w:sz w:val="22"/>
              </w:rPr>
              <w:t>兹病等引起的下肢功能障碍的残疾儿童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A2111A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A2111A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</w:tr>
      <w:tr w:rsidR="000176D6" w:rsidRPr="00BE76C6" w:rsidTr="00977A23">
        <w:trPr>
          <w:trHeight w:val="10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B5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精神、智力残疾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沟通和信息辅助器具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76C6">
              <w:rPr>
                <w:rFonts w:ascii="宋体" w:hAnsi="宋体" w:cs="宋体" w:hint="eastAsia"/>
                <w:kern w:val="0"/>
                <w:szCs w:val="21"/>
              </w:rPr>
              <w:t>认知辅具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E76C6">
              <w:rPr>
                <w:rFonts w:ascii="宋体" w:hAnsi="宋体" w:cs="宋体" w:hint="eastAsia"/>
                <w:kern w:val="0"/>
                <w:szCs w:val="21"/>
              </w:rPr>
              <w:t>件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E76C6"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4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76C6">
              <w:rPr>
                <w:rFonts w:ascii="宋体" w:hAnsi="宋体" w:cs="宋体" w:hint="eastAsia"/>
                <w:kern w:val="0"/>
                <w:szCs w:val="21"/>
              </w:rPr>
              <w:t>用于启发认知障碍儿童的智力、培养思维能力、锻炼手指能力相关的各类图片、积木、棋牌、玩具等认知用具、启智用品。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E76C6">
              <w:rPr>
                <w:rFonts w:ascii="宋体" w:hAnsi="宋体" w:cs="宋体" w:hint="eastAsia"/>
                <w:kern w:val="0"/>
                <w:szCs w:val="21"/>
              </w:rPr>
              <w:t>适用于智力功能障碍儿童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76D6" w:rsidRPr="00BE76C6" w:rsidRDefault="000176D6" w:rsidP="00977A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76C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176D6" w:rsidRPr="00BE76C6" w:rsidTr="00977A23">
        <w:trPr>
          <w:trHeight w:val="840"/>
        </w:trPr>
        <w:tc>
          <w:tcPr>
            <w:tcW w:w="16160" w:type="dxa"/>
            <w:gridSpan w:val="11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176D6" w:rsidRDefault="000176D6" w:rsidP="00977A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  <w:p w:rsidR="000176D6" w:rsidRPr="00BE76C6" w:rsidRDefault="000176D6" w:rsidP="00977A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E76C6">
              <w:rPr>
                <w:rFonts w:ascii="宋体" w:hAnsi="宋体" w:cs="宋体" w:hint="eastAsia"/>
                <w:kern w:val="0"/>
                <w:sz w:val="24"/>
              </w:rPr>
              <w:t>注：1、单位是“双”、“副”的，是指左右两边，如1副“腋拐”、1双“矫形鞋”，按1件计；单位为“具”的，是指单边，按1件计；</w:t>
            </w:r>
            <w:r w:rsidRPr="00BE76C6">
              <w:rPr>
                <w:rFonts w:ascii="宋体" w:hAnsi="宋体" w:cs="宋体" w:hint="eastAsia"/>
                <w:kern w:val="0"/>
                <w:sz w:val="24"/>
              </w:rPr>
              <w:br/>
              <w:t xml:space="preserve">    2、注明“须经评估”的辅助器具，须按要求提交评估报告后方可申请；</w:t>
            </w:r>
            <w:r w:rsidRPr="00BE76C6">
              <w:rPr>
                <w:rFonts w:ascii="宋体" w:hAnsi="宋体" w:cs="宋体" w:hint="eastAsia"/>
                <w:kern w:val="0"/>
                <w:sz w:val="24"/>
              </w:rPr>
              <w:br/>
              <w:t xml:space="preserve">    3、增加“辅具类别”的，应参照ISO 9999-2011《残疾人辅助器具分类与术语》的分类标准。</w:t>
            </w:r>
          </w:p>
        </w:tc>
      </w:tr>
    </w:tbl>
    <w:p w:rsidR="000176D6" w:rsidRDefault="000176D6" w:rsidP="000176D6">
      <w:pPr>
        <w:rPr>
          <w:rFonts w:ascii="仿宋_GB2312" w:eastAsia="仿宋_GB2312" w:hAnsi="宋体" w:cs="仿宋_GB2312" w:hint="eastAsia"/>
          <w:bCs/>
          <w:sz w:val="30"/>
          <w:szCs w:val="30"/>
        </w:rPr>
      </w:pPr>
    </w:p>
    <w:p w:rsidR="000176D6" w:rsidRDefault="000176D6" w:rsidP="000176D6">
      <w:pPr>
        <w:rPr>
          <w:rFonts w:ascii="仿宋_GB2312" w:eastAsia="仿宋_GB2312" w:hAnsi="宋体" w:cs="仿宋_GB2312"/>
          <w:bCs/>
          <w:sz w:val="30"/>
          <w:szCs w:val="30"/>
        </w:rPr>
        <w:sectPr w:rsidR="000176D6" w:rsidSect="00E02F82">
          <w:pgSz w:w="16838" w:h="11906" w:orient="landscape"/>
          <w:pgMar w:top="1474" w:right="1247" w:bottom="1474" w:left="1247" w:header="851" w:footer="992" w:gutter="0"/>
          <w:cols w:space="720"/>
          <w:docGrid w:type="lines" w:linePitch="312"/>
        </w:sectPr>
      </w:pPr>
    </w:p>
    <w:p w:rsidR="0083691F" w:rsidRPr="000176D6" w:rsidRDefault="0083691F">
      <w:bookmarkStart w:id="1" w:name="_GoBack"/>
      <w:bookmarkEnd w:id="1"/>
    </w:p>
    <w:sectPr w:rsidR="0083691F" w:rsidRPr="00017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C4" w:rsidRDefault="009951C4" w:rsidP="000176D6">
      <w:r>
        <w:separator/>
      </w:r>
    </w:p>
  </w:endnote>
  <w:endnote w:type="continuationSeparator" w:id="0">
    <w:p w:rsidR="009951C4" w:rsidRDefault="009951C4" w:rsidP="0001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C4" w:rsidRDefault="009951C4" w:rsidP="000176D6">
      <w:r>
        <w:separator/>
      </w:r>
    </w:p>
  </w:footnote>
  <w:footnote w:type="continuationSeparator" w:id="0">
    <w:p w:rsidR="009951C4" w:rsidRDefault="009951C4" w:rsidP="0001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2E"/>
    <w:rsid w:val="000176D6"/>
    <w:rsid w:val="004E3A55"/>
    <w:rsid w:val="0077422E"/>
    <w:rsid w:val="0083691F"/>
    <w:rsid w:val="009951C4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6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6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821</Words>
  <Characters>4683</Characters>
  <Application>Microsoft Office Word</Application>
  <DocSecurity>0</DocSecurity>
  <Lines>39</Lines>
  <Paragraphs>10</Paragraphs>
  <ScaleCrop>false</ScaleCrop>
  <Company>MS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2023-08-11T01:06:00Z</dcterms:created>
  <dcterms:modified xsi:type="dcterms:W3CDTF">2023-08-11T01:06:00Z</dcterms:modified>
</cp:coreProperties>
</file>